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5989" w:rsidRDefault="00C65989" w:rsidP="00FC4BB0">
      <w:pPr>
        <w:jc w:val="center"/>
        <w:rPr>
          <w:b/>
          <w:bCs/>
          <w:lang w:val="en-US"/>
        </w:rPr>
      </w:pPr>
      <w:r>
        <w:rPr>
          <w:b/>
          <w:bCs/>
          <w:lang w:val="en-US"/>
        </w:rPr>
        <w:t>Webinar 2 “Innovation strategies and innovation management</w:t>
      </w:r>
      <w:r w:rsidR="004F2648">
        <w:rPr>
          <w:b/>
          <w:bCs/>
          <w:lang w:val="en-US"/>
        </w:rPr>
        <w:t>”</w:t>
      </w:r>
    </w:p>
    <w:p w:rsidR="00FC4BB0" w:rsidRDefault="00FC4BB0" w:rsidP="00C65989">
      <w:pPr>
        <w:rPr>
          <w:lang w:val="en-US"/>
        </w:rPr>
      </w:pPr>
    </w:p>
    <w:p w:rsidR="00927160" w:rsidRDefault="00C65989" w:rsidP="00C65989">
      <w:pPr>
        <w:rPr>
          <w:lang w:val="en-US"/>
        </w:rPr>
      </w:pPr>
      <w:r w:rsidRPr="00FC4BB0">
        <w:rPr>
          <w:u w:val="single"/>
          <w:lang w:val="en-US"/>
        </w:rPr>
        <w:t>Date</w:t>
      </w:r>
    </w:p>
    <w:p w:rsidR="00C65989" w:rsidRDefault="00927160" w:rsidP="00C65989">
      <w:pPr>
        <w:rPr>
          <w:lang w:val="en-US"/>
        </w:rPr>
      </w:pPr>
      <w:r>
        <w:rPr>
          <w:lang w:val="en-US"/>
        </w:rPr>
        <w:t>T</w:t>
      </w:r>
      <w:r w:rsidR="00FC4BB0">
        <w:rPr>
          <w:lang w:val="en-US"/>
        </w:rPr>
        <w:t>hursday</w:t>
      </w:r>
      <w:r w:rsidR="00C65989">
        <w:rPr>
          <w:lang w:val="en-US"/>
        </w:rPr>
        <w:t xml:space="preserve"> 7</w:t>
      </w:r>
      <w:r w:rsidR="00FC4BB0" w:rsidRPr="00FC4BB0">
        <w:rPr>
          <w:vertAlign w:val="superscript"/>
          <w:lang w:val="en-US"/>
        </w:rPr>
        <w:t>th</w:t>
      </w:r>
      <w:r w:rsidR="00FC4BB0">
        <w:rPr>
          <w:lang w:val="en-US"/>
        </w:rPr>
        <w:t xml:space="preserve"> of </w:t>
      </w:r>
      <w:r w:rsidR="004F2648">
        <w:rPr>
          <w:lang w:val="en-US"/>
        </w:rPr>
        <w:t>September</w:t>
      </w:r>
      <w:r w:rsidR="00FC4BB0">
        <w:rPr>
          <w:lang w:val="en-US"/>
        </w:rPr>
        <w:t xml:space="preserve"> 2017, 10AM - 11.45 AM</w:t>
      </w:r>
      <w:r w:rsidR="00C65989">
        <w:rPr>
          <w:lang w:val="en-US"/>
        </w:rPr>
        <w:t xml:space="preserve"> CET</w:t>
      </w:r>
    </w:p>
    <w:p w:rsidR="00FC4BB0" w:rsidRDefault="00FC4BB0" w:rsidP="00C65989">
      <w:pPr>
        <w:rPr>
          <w:lang w:val="en-US"/>
        </w:rPr>
      </w:pPr>
    </w:p>
    <w:p w:rsidR="00927160" w:rsidRDefault="00C65989" w:rsidP="00FC4BB0">
      <w:pPr>
        <w:jc w:val="both"/>
        <w:rPr>
          <w:lang w:val="en-US"/>
        </w:rPr>
      </w:pPr>
      <w:r w:rsidRPr="00FC4BB0">
        <w:rPr>
          <w:u w:val="single"/>
          <w:lang w:val="en-US"/>
        </w:rPr>
        <w:t>Objective</w:t>
      </w:r>
      <w:r w:rsidR="00927160">
        <w:rPr>
          <w:lang w:val="en-US"/>
        </w:rPr>
        <w:t xml:space="preserve"> </w:t>
      </w:r>
    </w:p>
    <w:p w:rsidR="00C65989" w:rsidRDefault="00927160" w:rsidP="00FC4BB0">
      <w:pPr>
        <w:jc w:val="both"/>
        <w:rPr>
          <w:lang w:val="en-US"/>
        </w:rPr>
      </w:pPr>
      <w:r>
        <w:rPr>
          <w:lang w:val="en-US"/>
        </w:rPr>
        <w:t>T</w:t>
      </w:r>
      <w:r w:rsidR="00C65989">
        <w:rPr>
          <w:lang w:val="en-US"/>
        </w:rPr>
        <w:t>o explain broad issues related to innovation management, its link to innovation strategies, and examples of decisions to be taken. The focus will be on innovation management broadly. Innovation management in Horizon 2020 – that includes exploitation and dissemination – will be touched upon, but will be especially covered in the next webinar N°3 (later this year</w:t>
      </w:r>
      <w:r w:rsidR="004F2648">
        <w:rPr>
          <w:lang w:val="en-US"/>
        </w:rPr>
        <w:t>, December 2017 but TBC</w:t>
      </w:r>
      <w:r w:rsidR="00C65989">
        <w:rPr>
          <w:lang w:val="en-US"/>
        </w:rPr>
        <w:t>).</w:t>
      </w:r>
    </w:p>
    <w:p w:rsidR="00FC4BB0" w:rsidRDefault="00FC4BB0" w:rsidP="00C65989">
      <w:pPr>
        <w:rPr>
          <w:lang w:val="en-US"/>
        </w:rPr>
      </w:pPr>
    </w:p>
    <w:p w:rsidR="00927160" w:rsidRDefault="00FC4BB0" w:rsidP="00927160">
      <w:pPr>
        <w:jc w:val="both"/>
        <w:rPr>
          <w:lang w:val="en-GB"/>
        </w:rPr>
      </w:pPr>
      <w:r w:rsidRPr="003A09EF">
        <w:rPr>
          <w:u w:val="single"/>
          <w:lang w:val="en-GB"/>
        </w:rPr>
        <w:t>Participants</w:t>
      </w:r>
      <w:r>
        <w:rPr>
          <w:lang w:val="en-GB"/>
        </w:rPr>
        <w:t xml:space="preserve"> </w:t>
      </w:r>
    </w:p>
    <w:p w:rsidR="00FC4BB0" w:rsidRDefault="00927160" w:rsidP="00927160">
      <w:pPr>
        <w:jc w:val="both"/>
        <w:rPr>
          <w:lang w:val="en-GB"/>
        </w:rPr>
      </w:pPr>
      <w:r>
        <w:rPr>
          <w:lang w:val="en-GB"/>
        </w:rPr>
        <w:t>R</w:t>
      </w:r>
      <w:r w:rsidR="00FC4BB0">
        <w:rPr>
          <w:lang w:val="en-GB"/>
        </w:rPr>
        <w:t>esearch, development and innovation (RDI) actors from EaP countries - such as technology managers, researchers and other staff of universities, research centres, and private SMEs; other actors of EaP innovation system.</w:t>
      </w:r>
    </w:p>
    <w:p w:rsidR="00927160" w:rsidRDefault="00927160" w:rsidP="00927160">
      <w:pPr>
        <w:jc w:val="both"/>
        <w:rPr>
          <w:u w:val="single"/>
          <w:lang w:val="en-US"/>
        </w:rPr>
      </w:pPr>
    </w:p>
    <w:p w:rsidR="00FC4BB0" w:rsidRPr="00C86F3B" w:rsidRDefault="00B33752" w:rsidP="00927160">
      <w:pPr>
        <w:jc w:val="both"/>
        <w:rPr>
          <w:lang w:val="en-US"/>
        </w:rPr>
      </w:pPr>
      <w:r>
        <w:rPr>
          <w:u w:val="single"/>
          <w:lang w:val="en-US"/>
        </w:rPr>
        <w:t>Guest Speaker</w:t>
      </w:r>
    </w:p>
    <w:p w:rsidR="00FC4BB0" w:rsidRDefault="00FC4BB0" w:rsidP="00927160">
      <w:pPr>
        <w:pStyle w:val="Paragraphedeliste"/>
        <w:numPr>
          <w:ilvl w:val="0"/>
          <w:numId w:val="2"/>
        </w:numPr>
        <w:jc w:val="both"/>
        <w:rPr>
          <w:lang w:val="en-GB"/>
        </w:rPr>
      </w:pPr>
      <w:r w:rsidRPr="00927160">
        <w:rPr>
          <w:b/>
          <w:lang w:val="en-GB"/>
        </w:rPr>
        <w:t>Peter Häfner</w:t>
      </w:r>
      <w:r w:rsidRPr="006B434B">
        <w:rPr>
          <w:lang w:val="en-GB"/>
        </w:rPr>
        <w:t>: senior innovation manager of engage AG, Head of Berlin and Leipzig offices (Germany)</w:t>
      </w:r>
    </w:p>
    <w:p w:rsidR="00927160" w:rsidRPr="002C3198" w:rsidRDefault="00927160" w:rsidP="00927160">
      <w:pPr>
        <w:jc w:val="both"/>
        <w:rPr>
          <w:lang w:val="en-GB"/>
        </w:rPr>
      </w:pPr>
      <w:r w:rsidRPr="002C3198">
        <w:rPr>
          <w:u w:val="single"/>
          <w:lang w:val="en-US"/>
        </w:rPr>
        <w:t>Context</w:t>
      </w:r>
    </w:p>
    <w:p w:rsidR="00927160" w:rsidRDefault="00927160" w:rsidP="00927160">
      <w:pPr>
        <w:jc w:val="both"/>
        <w:rPr>
          <w:lang w:val="en-GB"/>
        </w:rPr>
      </w:pPr>
      <w:r>
        <w:rPr>
          <w:lang w:val="en-GB"/>
        </w:rPr>
        <w:t>The EaP PLUS project will organise six</w:t>
      </w:r>
      <w:r w:rsidRPr="00597B48">
        <w:rPr>
          <w:lang w:val="en-GB"/>
        </w:rPr>
        <w:t xml:space="preserve"> webinars on specific innovation-related topics, exploitation paths and other horizontal issues important for Research</w:t>
      </w:r>
      <w:r>
        <w:rPr>
          <w:lang w:val="en-GB"/>
        </w:rPr>
        <w:t xml:space="preserve">, </w:t>
      </w:r>
      <w:r w:rsidRPr="00AC2562">
        <w:rPr>
          <w:lang w:val="en-GB"/>
        </w:rPr>
        <w:t>D</w:t>
      </w:r>
      <w:r>
        <w:rPr>
          <w:lang w:val="en-GB"/>
        </w:rPr>
        <w:t xml:space="preserve">evelopment and </w:t>
      </w:r>
      <w:r w:rsidRPr="00AC2562">
        <w:rPr>
          <w:lang w:val="en-GB"/>
        </w:rPr>
        <w:t>I</w:t>
      </w:r>
      <w:r>
        <w:rPr>
          <w:lang w:val="en-GB"/>
        </w:rPr>
        <w:t>nnovation (RDI) in EaP countries and for</w:t>
      </w:r>
      <w:r w:rsidRPr="00AC2562">
        <w:rPr>
          <w:lang w:val="en-GB"/>
        </w:rPr>
        <w:t xml:space="preserve"> the EU</w:t>
      </w:r>
      <w:r>
        <w:rPr>
          <w:lang w:val="en-GB"/>
        </w:rPr>
        <w:t xml:space="preserve">-EaP RDI </w:t>
      </w:r>
      <w:r w:rsidRPr="00AC2562">
        <w:rPr>
          <w:lang w:val="en-GB"/>
        </w:rPr>
        <w:t>cooperation.</w:t>
      </w:r>
      <w:r>
        <w:rPr>
          <w:lang w:val="en-GB"/>
        </w:rPr>
        <w:t xml:space="preserve"> The aim of the webinars is to allow the transfer of knowledge from EU experts to EaP institutions on topics related to research exploitation, innovation strategy in RDI projects, academia-industry collaboration, RDI internationalisation, Intellectual Property Rights and other topics related to Research, Development and Innovation projects. </w:t>
      </w:r>
    </w:p>
    <w:p w:rsidR="00927160" w:rsidRDefault="00927160" w:rsidP="00927160">
      <w:pPr>
        <w:jc w:val="both"/>
        <w:rPr>
          <w:lang w:val="en-GB"/>
        </w:rPr>
      </w:pPr>
    </w:p>
    <w:p w:rsidR="00927160" w:rsidRDefault="00927160" w:rsidP="00927160">
      <w:pPr>
        <w:jc w:val="both"/>
        <w:rPr>
          <w:lang w:val="en-US"/>
        </w:rPr>
      </w:pPr>
      <w:r>
        <w:rPr>
          <w:lang w:val="en-US"/>
        </w:rPr>
        <w:t xml:space="preserve">A survey was launched in January 2017 to identify the needs and interests of EaP countries on RDI. </w:t>
      </w:r>
      <w:r w:rsidRPr="000E0848">
        <w:rPr>
          <w:lang w:val="en-US"/>
        </w:rPr>
        <w:t xml:space="preserve">Following the survey results, </w:t>
      </w:r>
      <w:r>
        <w:rPr>
          <w:lang w:val="en-US"/>
        </w:rPr>
        <w:t xml:space="preserve">the first webinars </w:t>
      </w:r>
      <w:r w:rsidR="004770B7">
        <w:rPr>
          <w:lang w:val="en-US"/>
        </w:rPr>
        <w:t>are</w:t>
      </w:r>
      <w:r>
        <w:rPr>
          <w:lang w:val="en-US"/>
        </w:rPr>
        <w:t xml:space="preserve"> on</w:t>
      </w:r>
      <w:r w:rsidR="004770B7">
        <w:rPr>
          <w:lang w:val="en-US"/>
        </w:rPr>
        <w:t xml:space="preserve"> the</w:t>
      </w:r>
      <w:r>
        <w:rPr>
          <w:lang w:val="en-US"/>
        </w:rPr>
        <w:t xml:space="preserve"> </w:t>
      </w:r>
      <w:r w:rsidRPr="000E0848">
        <w:rPr>
          <w:lang w:val="en-US"/>
        </w:rPr>
        <w:t>innova</w:t>
      </w:r>
      <w:r>
        <w:rPr>
          <w:lang w:val="en-US"/>
        </w:rPr>
        <w:t>tion strategies in RDI projects</w:t>
      </w:r>
      <w:r w:rsidRPr="000E0848">
        <w:rPr>
          <w:lang w:val="en-US"/>
        </w:rPr>
        <w:t>.</w:t>
      </w:r>
      <w:r>
        <w:rPr>
          <w:lang w:val="en-US"/>
        </w:rPr>
        <w:t xml:space="preserve"> The indicative topics and timing for the following webinars are as follows:</w:t>
      </w:r>
    </w:p>
    <w:p w:rsidR="004770B7" w:rsidRDefault="004770B7" w:rsidP="00927160">
      <w:pPr>
        <w:jc w:val="both"/>
        <w:rPr>
          <w:lang w:val="en-US"/>
        </w:rPr>
      </w:pPr>
    </w:p>
    <w:p w:rsidR="00927160" w:rsidRPr="005657F8" w:rsidRDefault="00927160" w:rsidP="00927160">
      <w:pPr>
        <w:pStyle w:val="Paragraphedeliste"/>
        <w:numPr>
          <w:ilvl w:val="0"/>
          <w:numId w:val="3"/>
        </w:numPr>
        <w:spacing w:after="0" w:line="240" w:lineRule="auto"/>
        <w:jc w:val="both"/>
        <w:rPr>
          <w:b/>
          <w:lang w:val="en-US"/>
        </w:rPr>
      </w:pPr>
      <w:r w:rsidRPr="00C21175">
        <w:rPr>
          <w:b/>
          <w:lang w:val="en-US"/>
        </w:rPr>
        <w:t xml:space="preserve">December 2017, webinar 3: </w:t>
      </w:r>
      <w:r>
        <w:rPr>
          <w:lang w:val="en-US"/>
        </w:rPr>
        <w:t>E</w:t>
      </w:r>
      <w:r w:rsidRPr="00C21175">
        <w:rPr>
          <w:lang w:val="en-US"/>
        </w:rPr>
        <w:t xml:space="preserve">xploitation </w:t>
      </w:r>
      <w:r>
        <w:rPr>
          <w:lang w:val="en-US"/>
        </w:rPr>
        <w:t>strategy</w:t>
      </w:r>
      <w:r w:rsidRPr="00C21175">
        <w:rPr>
          <w:lang w:val="en-US"/>
        </w:rPr>
        <w:t xml:space="preserve"> </w:t>
      </w:r>
      <w:r>
        <w:rPr>
          <w:lang w:val="en-US"/>
        </w:rPr>
        <w:t>in</w:t>
      </w:r>
      <w:r w:rsidRPr="00C21175">
        <w:rPr>
          <w:lang w:val="en-US"/>
        </w:rPr>
        <w:t xml:space="preserve"> RDI </w:t>
      </w:r>
      <w:r>
        <w:rPr>
          <w:lang w:val="en-US"/>
        </w:rPr>
        <w:t xml:space="preserve">collaborative </w:t>
      </w:r>
      <w:r w:rsidRPr="00C21175">
        <w:rPr>
          <w:lang w:val="en-US"/>
        </w:rPr>
        <w:t>projects</w:t>
      </w:r>
      <w:r>
        <w:rPr>
          <w:lang w:val="en-US"/>
        </w:rPr>
        <w:t>, Part 1: overview, implementation steps, exploitation plan (case example: Horizon 2020 research and innovation project)</w:t>
      </w:r>
    </w:p>
    <w:p w:rsidR="00927160" w:rsidRDefault="00927160" w:rsidP="00927160">
      <w:pPr>
        <w:pStyle w:val="Paragraphedeliste"/>
        <w:numPr>
          <w:ilvl w:val="0"/>
          <w:numId w:val="3"/>
        </w:numPr>
        <w:spacing w:after="0" w:line="240" w:lineRule="auto"/>
        <w:rPr>
          <w:lang w:val="en-US"/>
        </w:rPr>
      </w:pPr>
      <w:r w:rsidRPr="00755DBB">
        <w:rPr>
          <w:b/>
          <w:lang w:val="en-US"/>
        </w:rPr>
        <w:t xml:space="preserve">Feb/March 2018, webinar 4: </w:t>
      </w:r>
      <w:r w:rsidRPr="00755DBB">
        <w:rPr>
          <w:lang w:val="en-US"/>
        </w:rPr>
        <w:t xml:space="preserve">Exploitation strategy in RDI collaborative projects, Part </w:t>
      </w:r>
      <w:r>
        <w:rPr>
          <w:lang w:val="en-US"/>
        </w:rPr>
        <w:t xml:space="preserve">2 </w:t>
      </w:r>
    </w:p>
    <w:p w:rsidR="00927160" w:rsidRPr="00C21175" w:rsidRDefault="00927160" w:rsidP="00927160">
      <w:pPr>
        <w:pStyle w:val="Paragraphedeliste"/>
        <w:numPr>
          <w:ilvl w:val="0"/>
          <w:numId w:val="3"/>
        </w:numPr>
        <w:spacing w:after="0" w:line="240" w:lineRule="auto"/>
        <w:jc w:val="both"/>
        <w:rPr>
          <w:b/>
          <w:lang w:val="en-US"/>
        </w:rPr>
      </w:pPr>
      <w:r w:rsidRPr="00C21175">
        <w:rPr>
          <w:b/>
          <w:lang w:val="en-US"/>
        </w:rPr>
        <w:t>May/June 2018, webinar 5</w:t>
      </w:r>
      <w:r>
        <w:rPr>
          <w:lang w:val="en-US"/>
        </w:rPr>
        <w:t>: E</w:t>
      </w:r>
      <w:r w:rsidRPr="00C21175">
        <w:rPr>
          <w:lang w:val="en-US"/>
        </w:rPr>
        <w:t>ngaging in ac</w:t>
      </w:r>
      <w:r>
        <w:rPr>
          <w:lang w:val="en-US"/>
        </w:rPr>
        <w:t>ademia-industry collaboration</w:t>
      </w:r>
    </w:p>
    <w:p w:rsidR="00927160" w:rsidRPr="00C21175" w:rsidRDefault="00927160" w:rsidP="00927160">
      <w:pPr>
        <w:pStyle w:val="Paragraphedeliste"/>
        <w:numPr>
          <w:ilvl w:val="0"/>
          <w:numId w:val="3"/>
        </w:numPr>
        <w:spacing w:after="0" w:line="240" w:lineRule="auto"/>
        <w:jc w:val="both"/>
        <w:rPr>
          <w:b/>
          <w:lang w:val="en-US"/>
        </w:rPr>
      </w:pPr>
      <w:r w:rsidRPr="00C21175">
        <w:rPr>
          <w:b/>
          <w:lang w:val="en-US"/>
        </w:rPr>
        <w:t xml:space="preserve">January 2019, webinar 6: </w:t>
      </w:r>
      <w:r>
        <w:rPr>
          <w:lang w:val="en-US"/>
        </w:rPr>
        <w:t>I</w:t>
      </w:r>
      <w:r w:rsidRPr="00C21175">
        <w:rPr>
          <w:lang w:val="en-US"/>
        </w:rPr>
        <w:t xml:space="preserve">nternationalization of RDI activities - </w:t>
      </w:r>
      <w:r w:rsidRPr="00C21175">
        <w:rPr>
          <w:rFonts w:eastAsia="Times New Roman"/>
          <w:lang w:val="en-US"/>
        </w:rPr>
        <w:t>Exploring the models of international innovation partnerships</w:t>
      </w:r>
    </w:p>
    <w:p w:rsidR="00927160" w:rsidRDefault="00927160" w:rsidP="00927160">
      <w:pPr>
        <w:jc w:val="both"/>
        <w:rPr>
          <w:lang w:val="en-US"/>
        </w:rPr>
      </w:pPr>
    </w:p>
    <w:p w:rsidR="00927160" w:rsidRDefault="00927160" w:rsidP="00927160">
      <w:pPr>
        <w:jc w:val="both"/>
        <w:rPr>
          <w:lang w:val="en-GB"/>
        </w:rPr>
      </w:pPr>
      <w:r w:rsidRPr="00AC2562">
        <w:rPr>
          <w:lang w:val="en-GB"/>
        </w:rPr>
        <w:t>The content of the webinars will be based on good European practice</w:t>
      </w:r>
      <w:r>
        <w:rPr>
          <w:lang w:val="en-GB"/>
        </w:rPr>
        <w:t>s and, when possible, will consider</w:t>
      </w:r>
      <w:r w:rsidRPr="00AC2562">
        <w:rPr>
          <w:lang w:val="en-GB"/>
        </w:rPr>
        <w:t xml:space="preserve"> previous materials developed in other EC-funded projects. </w:t>
      </w:r>
    </w:p>
    <w:p w:rsidR="00927160" w:rsidRDefault="00927160" w:rsidP="00927160">
      <w:pPr>
        <w:jc w:val="both"/>
        <w:rPr>
          <w:u w:val="single"/>
          <w:lang w:val="en-US"/>
        </w:rPr>
      </w:pPr>
    </w:p>
    <w:p w:rsidR="00927160" w:rsidRDefault="00927160" w:rsidP="00927160">
      <w:pPr>
        <w:jc w:val="both"/>
        <w:rPr>
          <w:u w:val="single"/>
          <w:lang w:val="en-US"/>
        </w:rPr>
      </w:pPr>
      <w:r>
        <w:rPr>
          <w:u w:val="single"/>
          <w:lang w:val="en-US"/>
        </w:rPr>
        <w:t>Agenda</w:t>
      </w:r>
    </w:p>
    <w:p w:rsidR="00927160" w:rsidRDefault="00927160" w:rsidP="00927160">
      <w:pPr>
        <w:numPr>
          <w:ilvl w:val="0"/>
          <w:numId w:val="1"/>
        </w:numPr>
        <w:rPr>
          <w:rFonts w:eastAsia="Times New Roman"/>
          <w:lang w:val="en-US"/>
        </w:rPr>
      </w:pPr>
      <w:r w:rsidRPr="00927160">
        <w:rPr>
          <w:rFonts w:eastAsia="Times New Roman"/>
          <w:b/>
          <w:lang w:val="en-US"/>
        </w:rPr>
        <w:lastRenderedPageBreak/>
        <w:t>10-10.10 AM</w:t>
      </w:r>
      <w:r>
        <w:rPr>
          <w:rFonts w:eastAsia="Times New Roman"/>
          <w:lang w:val="en-US"/>
        </w:rPr>
        <w:t xml:space="preserve">: </w:t>
      </w:r>
      <w:r w:rsidR="008A02DD">
        <w:rPr>
          <w:rFonts w:eastAsia="Times New Roman"/>
          <w:lang w:val="en-US"/>
        </w:rPr>
        <w:t>Brief i</w:t>
      </w:r>
      <w:r>
        <w:rPr>
          <w:rFonts w:eastAsia="Times New Roman"/>
          <w:lang w:val="en-US"/>
        </w:rPr>
        <w:t>ntroduction</w:t>
      </w:r>
      <w:r w:rsidR="008A02DD">
        <w:rPr>
          <w:rFonts w:eastAsia="Times New Roman"/>
          <w:lang w:val="en-US"/>
        </w:rPr>
        <w:t xml:space="preserve"> by Svetlana Klessova (inno TSD, Director)</w:t>
      </w:r>
      <w:r w:rsidR="005F5CA7">
        <w:rPr>
          <w:rFonts w:eastAsia="Times New Roman"/>
          <w:lang w:val="en-US"/>
        </w:rPr>
        <w:t xml:space="preserve"> on the EaP PLUS project and the series of webinars,</w:t>
      </w:r>
      <w:bookmarkStart w:id="0" w:name="_GoBack"/>
      <w:bookmarkEnd w:id="0"/>
      <w:r w:rsidR="008A02DD">
        <w:rPr>
          <w:rFonts w:eastAsia="Times New Roman"/>
          <w:lang w:val="en-US"/>
        </w:rPr>
        <w:t xml:space="preserve"> followed by a more general introduction on i</w:t>
      </w:r>
      <w:r>
        <w:rPr>
          <w:rFonts w:eastAsia="Times New Roman"/>
          <w:lang w:val="en-US"/>
        </w:rPr>
        <w:t>nnovation manage</w:t>
      </w:r>
      <w:r w:rsidRPr="00927160">
        <w:rPr>
          <w:rFonts w:eastAsia="Times New Roman"/>
          <w:lang w:val="en-US"/>
        </w:rPr>
        <w:t>ment as p</w:t>
      </w:r>
      <w:r w:rsidR="00D215AA">
        <w:rPr>
          <w:rFonts w:eastAsia="Times New Roman"/>
          <w:lang w:val="en-US"/>
        </w:rPr>
        <w:t xml:space="preserve">art of the innovation strategy </w:t>
      </w:r>
    </w:p>
    <w:p w:rsidR="00927160" w:rsidRDefault="00927160" w:rsidP="00927160">
      <w:pPr>
        <w:numPr>
          <w:ilvl w:val="0"/>
          <w:numId w:val="1"/>
        </w:numPr>
        <w:rPr>
          <w:rFonts w:eastAsia="Times New Roman"/>
          <w:lang w:val="en-US"/>
        </w:rPr>
      </w:pPr>
      <w:r w:rsidRPr="00927160">
        <w:rPr>
          <w:rFonts w:eastAsia="Times New Roman"/>
          <w:b/>
          <w:lang w:val="en-US"/>
        </w:rPr>
        <w:t>10.10-10.30 AM</w:t>
      </w:r>
      <w:r>
        <w:rPr>
          <w:rFonts w:eastAsia="Times New Roman"/>
          <w:lang w:val="en-US"/>
        </w:rPr>
        <w:t xml:space="preserve">: Choosing from different kinds of commercialization options to pursue (start up, cooperation project, licensing or sale of IP): how to decide? </w:t>
      </w:r>
    </w:p>
    <w:p w:rsidR="00927160" w:rsidRDefault="00927160" w:rsidP="00927160">
      <w:pPr>
        <w:numPr>
          <w:ilvl w:val="0"/>
          <w:numId w:val="1"/>
        </w:numPr>
        <w:rPr>
          <w:rFonts w:eastAsia="Times New Roman"/>
          <w:lang w:val="en-US"/>
        </w:rPr>
      </w:pPr>
      <w:r w:rsidRPr="00927160">
        <w:rPr>
          <w:rFonts w:eastAsia="Times New Roman"/>
          <w:b/>
          <w:lang w:val="en-US"/>
        </w:rPr>
        <w:t>10.30-10.45 AM</w:t>
      </w:r>
      <w:r>
        <w:rPr>
          <w:rFonts w:eastAsia="Times New Roman"/>
          <w:lang w:val="en-US"/>
        </w:rPr>
        <w:t xml:space="preserve">: How to manage IP – different options for IP protection: legal and non-legal </w:t>
      </w:r>
    </w:p>
    <w:p w:rsidR="00927160" w:rsidRDefault="00927160" w:rsidP="00927160">
      <w:pPr>
        <w:numPr>
          <w:ilvl w:val="0"/>
          <w:numId w:val="1"/>
        </w:numPr>
        <w:rPr>
          <w:rFonts w:eastAsia="Times New Roman"/>
          <w:lang w:val="en-US"/>
        </w:rPr>
      </w:pPr>
      <w:r w:rsidRPr="00927160">
        <w:rPr>
          <w:rFonts w:eastAsia="Times New Roman"/>
          <w:b/>
          <w:lang w:val="en-US"/>
        </w:rPr>
        <w:t>10.45-11.AM:</w:t>
      </w:r>
      <w:r w:rsidR="00BD4C9E">
        <w:rPr>
          <w:rFonts w:eastAsia="Times New Roman"/>
          <w:lang w:val="en-US"/>
        </w:rPr>
        <w:t xml:space="preserve"> Innovation system: focus on </w:t>
      </w:r>
      <w:r>
        <w:rPr>
          <w:rFonts w:eastAsia="Times New Roman"/>
          <w:lang w:val="en-US"/>
        </w:rPr>
        <w:t xml:space="preserve">how to fill the pipeline of new innovations, encourage innovation in </w:t>
      </w:r>
      <w:r w:rsidR="004F2648">
        <w:rPr>
          <w:rFonts w:eastAsia="Times New Roman"/>
          <w:lang w:val="en-US"/>
        </w:rPr>
        <w:t>organisations</w:t>
      </w:r>
      <w:r>
        <w:rPr>
          <w:rFonts w:eastAsia="Times New Roman"/>
          <w:lang w:val="en-US"/>
        </w:rPr>
        <w:t> </w:t>
      </w:r>
    </w:p>
    <w:p w:rsidR="00927160" w:rsidRDefault="00927160" w:rsidP="00927160">
      <w:pPr>
        <w:numPr>
          <w:ilvl w:val="0"/>
          <w:numId w:val="1"/>
        </w:numPr>
        <w:rPr>
          <w:rFonts w:eastAsia="Times New Roman"/>
          <w:lang w:val="en-US"/>
        </w:rPr>
      </w:pPr>
      <w:r w:rsidRPr="00927160">
        <w:rPr>
          <w:rFonts w:eastAsia="Times New Roman"/>
          <w:b/>
          <w:lang w:val="en-US"/>
        </w:rPr>
        <w:t>11-11.15 AM</w:t>
      </w:r>
      <w:r>
        <w:rPr>
          <w:rFonts w:eastAsia="Times New Roman"/>
          <w:lang w:val="en-US"/>
        </w:rPr>
        <w:t xml:space="preserve">: Conclusion and next webinar </w:t>
      </w:r>
      <w:r w:rsidR="004F2648">
        <w:rPr>
          <w:rFonts w:eastAsia="Times New Roman"/>
          <w:lang w:val="en-US"/>
        </w:rPr>
        <w:t>(Innovation management in H2020</w:t>
      </w:r>
      <w:r>
        <w:rPr>
          <w:rFonts w:eastAsia="Times New Roman"/>
          <w:lang w:val="en-US"/>
        </w:rPr>
        <w:t>, that includes d</w:t>
      </w:r>
      <w:r w:rsidR="00BD4C9E">
        <w:rPr>
          <w:rFonts w:eastAsia="Times New Roman"/>
          <w:lang w:val="en-US"/>
        </w:rPr>
        <w:t xml:space="preserve">issemination and exploitation) </w:t>
      </w:r>
    </w:p>
    <w:p w:rsidR="00927160" w:rsidRDefault="00927160" w:rsidP="00927160">
      <w:pPr>
        <w:numPr>
          <w:ilvl w:val="0"/>
          <w:numId w:val="1"/>
        </w:numPr>
        <w:rPr>
          <w:rFonts w:eastAsia="Times New Roman"/>
          <w:lang w:val="en-US"/>
        </w:rPr>
      </w:pPr>
      <w:r w:rsidRPr="00927160">
        <w:rPr>
          <w:rFonts w:eastAsia="Times New Roman"/>
          <w:b/>
          <w:lang w:val="en-US"/>
        </w:rPr>
        <w:t>11.15-11.45</w:t>
      </w:r>
      <w:r>
        <w:rPr>
          <w:rFonts w:eastAsia="Times New Roman"/>
          <w:lang w:val="en-US"/>
        </w:rPr>
        <w:t>: Questions/answers</w:t>
      </w:r>
    </w:p>
    <w:p w:rsidR="00927160" w:rsidRDefault="00927160" w:rsidP="00927160">
      <w:pPr>
        <w:jc w:val="both"/>
        <w:rPr>
          <w:u w:val="single"/>
          <w:lang w:val="en-US"/>
        </w:rPr>
      </w:pPr>
    </w:p>
    <w:p w:rsidR="00927160" w:rsidRDefault="00927160" w:rsidP="00927160">
      <w:pPr>
        <w:jc w:val="both"/>
        <w:rPr>
          <w:u w:val="single"/>
          <w:lang w:val="en-US"/>
        </w:rPr>
      </w:pPr>
    </w:p>
    <w:p w:rsidR="00927160" w:rsidRDefault="00927160" w:rsidP="00927160">
      <w:pPr>
        <w:jc w:val="both"/>
        <w:rPr>
          <w:u w:val="single"/>
          <w:lang w:val="en-US"/>
        </w:rPr>
      </w:pPr>
      <w:r>
        <w:rPr>
          <w:u w:val="single"/>
          <w:lang w:val="en-US"/>
        </w:rPr>
        <w:t>Speakers’ bio</w:t>
      </w:r>
    </w:p>
    <w:p w:rsidR="00927160" w:rsidRPr="004F2648" w:rsidRDefault="00927160" w:rsidP="00927160">
      <w:pPr>
        <w:pStyle w:val="NormalWeb"/>
        <w:jc w:val="both"/>
        <w:rPr>
          <w:rFonts w:asciiTheme="minorHAnsi" w:eastAsiaTheme="minorHAnsi" w:hAnsiTheme="minorHAnsi" w:cstheme="minorBidi"/>
          <w:b/>
          <w:color w:val="auto"/>
          <w:sz w:val="22"/>
          <w:szCs w:val="22"/>
        </w:rPr>
      </w:pPr>
      <w:r w:rsidRPr="004F2648">
        <w:rPr>
          <w:rFonts w:asciiTheme="minorHAnsi" w:eastAsiaTheme="minorHAnsi" w:hAnsiTheme="minorHAnsi" w:cstheme="minorBidi"/>
          <w:b/>
          <w:color w:val="auto"/>
          <w:sz w:val="22"/>
          <w:szCs w:val="22"/>
        </w:rPr>
        <w:t>Peter Häfner, engage AG, Berlin/Leipzig, Germany</w:t>
      </w:r>
    </w:p>
    <w:p w:rsidR="00927160" w:rsidRPr="00CB3D00" w:rsidRDefault="00927160" w:rsidP="00927160">
      <w:pPr>
        <w:jc w:val="both"/>
        <w:rPr>
          <w:lang w:val="en-GB"/>
        </w:rPr>
      </w:pPr>
      <w:r>
        <w:rPr>
          <w:noProof/>
          <w:lang w:eastAsia="fr-FR"/>
        </w:rPr>
        <w:drawing>
          <wp:anchor distT="0" distB="0" distL="114300" distR="114300" simplePos="0" relativeHeight="251658240" behindDoc="1" locked="0" layoutInCell="1" allowOverlap="1" wp14:anchorId="267CAF59" wp14:editId="185FB52A">
            <wp:simplePos x="0" y="0"/>
            <wp:positionH relativeFrom="column">
              <wp:posOffset>2540</wp:posOffset>
            </wp:positionH>
            <wp:positionV relativeFrom="paragraph">
              <wp:posOffset>2540</wp:posOffset>
            </wp:positionV>
            <wp:extent cx="744855" cy="1022350"/>
            <wp:effectExtent l="0" t="0" r="0" b="6350"/>
            <wp:wrapTight wrapText="bothSides">
              <wp:wrapPolygon edited="0">
                <wp:start x="0" y="0"/>
                <wp:lineTo x="0" y="21332"/>
                <wp:lineTo x="20992" y="21332"/>
                <wp:lineTo x="20992"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l="11485" t="3448" r="10474" b="18469"/>
                    <a:stretch>
                      <a:fillRect/>
                    </a:stretch>
                  </pic:blipFill>
                  <pic:spPr bwMode="auto">
                    <a:xfrm>
                      <a:off x="0" y="0"/>
                      <a:ext cx="744855" cy="1022350"/>
                    </a:xfrm>
                    <a:prstGeom prst="rect">
                      <a:avLst/>
                    </a:prstGeom>
                    <a:noFill/>
                  </pic:spPr>
                </pic:pic>
              </a:graphicData>
            </a:graphic>
            <wp14:sizeRelH relativeFrom="page">
              <wp14:pctWidth>0</wp14:pctWidth>
            </wp14:sizeRelH>
            <wp14:sizeRelV relativeFrom="page">
              <wp14:pctHeight>0</wp14:pctHeight>
            </wp14:sizeRelV>
          </wp:anchor>
        </w:drawing>
      </w:r>
      <w:r>
        <w:rPr>
          <w:b/>
          <w:bCs/>
          <w:lang w:val="en-US" w:eastAsia="fr-FR"/>
        </w:rPr>
        <w:t>Mr Peter Häfner</w:t>
      </w:r>
      <w:r>
        <w:rPr>
          <w:lang w:val="en-US" w:eastAsia="fr-FR"/>
        </w:rPr>
        <w:t xml:space="preserve"> is senior innovation manager at engage AG, and head of engage’s Leipzig and Berlin offices. He leads consulting projects for public and private clients in Germany in the field of innovation management and technology commercialisation. His main focus are projects concerning the stimulation and support of technology-oriented spin-offs from higher education and research institutions. Prior to joining Engage AG in 2010 Peter Häfner studied Physics and Business Administration at the Chemnitz University of Technology with a focus on marketing, innovation management and psychology. He gained his first entrepreneurial experiences in 1992 by founding a company in the social sector. Subsequently, he was in charge of marketing and sales for a service provider specialised in consulting and advanced training. Since 2003, Mr. Häfner supported university spin-offs and was involved in the training of entrepreneurs. As of 2005 he was in charge of setting up structures for efficiently identifying commercially relevant technologies and supporting particularly technology-oriented spin-offs from the universities Chemnitz, Freiberg, Mittweida and Zwickau as CEO of SAXEED Center for Entrepreneurship.</w:t>
      </w:r>
    </w:p>
    <w:p w:rsidR="00927160" w:rsidRPr="00927160" w:rsidRDefault="00927160" w:rsidP="00927160">
      <w:pPr>
        <w:jc w:val="both"/>
        <w:rPr>
          <w:lang w:val="en-GB"/>
        </w:rPr>
      </w:pPr>
    </w:p>
    <w:p w:rsidR="004F2648" w:rsidRPr="00AD7CED" w:rsidRDefault="004F2648" w:rsidP="004F2648">
      <w:pPr>
        <w:jc w:val="both"/>
        <w:rPr>
          <w:u w:val="single"/>
          <w:lang w:val="en-US"/>
        </w:rPr>
      </w:pPr>
      <w:r w:rsidRPr="00AD7CED">
        <w:rPr>
          <w:u w:val="single"/>
          <w:lang w:val="en-US"/>
        </w:rPr>
        <w:t>Next steps</w:t>
      </w:r>
    </w:p>
    <w:p w:rsidR="00FC4BB0" w:rsidRPr="00FC4BB0" w:rsidRDefault="00FC4BB0" w:rsidP="00C65989">
      <w:pPr>
        <w:rPr>
          <w:lang w:val="en-GB"/>
        </w:rPr>
      </w:pPr>
    </w:p>
    <w:p w:rsidR="00C65989" w:rsidRPr="004F2648" w:rsidRDefault="004F2648" w:rsidP="00C65989">
      <w:pPr>
        <w:rPr>
          <w:lang w:val="en-US"/>
        </w:rPr>
      </w:pPr>
      <w:r w:rsidRPr="004F2648">
        <w:rPr>
          <w:lang w:val="en-US"/>
        </w:rPr>
        <w:t xml:space="preserve">The following EaP PLUS RDI webinar will take place in December 2017 (TBC). </w:t>
      </w:r>
      <w:r>
        <w:rPr>
          <w:lang w:val="en-US"/>
        </w:rPr>
        <w:t xml:space="preserve">This third webinar in a series of six webinars in total will focus on innovation management in Horizon 2020, including exploitation and dissemination strategies. </w:t>
      </w:r>
    </w:p>
    <w:p w:rsidR="00C65989" w:rsidRPr="004F2648" w:rsidRDefault="00C65989" w:rsidP="00C65989">
      <w:pPr>
        <w:rPr>
          <w:lang w:val="en-US"/>
        </w:rPr>
      </w:pPr>
    </w:p>
    <w:p w:rsidR="00C65989" w:rsidRDefault="00C65989" w:rsidP="00C65989">
      <w:pPr>
        <w:rPr>
          <w:lang w:val="en-US"/>
        </w:rPr>
      </w:pPr>
    </w:p>
    <w:p w:rsidR="00276B68" w:rsidRPr="00C65989" w:rsidRDefault="00276B68" w:rsidP="00C65989">
      <w:pPr>
        <w:rPr>
          <w:lang w:val="en-US"/>
        </w:rPr>
      </w:pPr>
    </w:p>
    <w:sectPr w:rsidR="00276B68" w:rsidRPr="00C65989">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4BB0" w:rsidRDefault="00FC4BB0" w:rsidP="00FC4BB0">
      <w:r>
        <w:separator/>
      </w:r>
    </w:p>
  </w:endnote>
  <w:endnote w:type="continuationSeparator" w:id="0">
    <w:p w:rsidR="00FC4BB0" w:rsidRDefault="00FC4BB0" w:rsidP="00FC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4BB0" w:rsidRDefault="00FC4BB0" w:rsidP="00FC4BB0">
      <w:r>
        <w:separator/>
      </w:r>
    </w:p>
  </w:footnote>
  <w:footnote w:type="continuationSeparator" w:id="0">
    <w:p w:rsidR="00FC4BB0" w:rsidRDefault="00FC4BB0" w:rsidP="00FC4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4BB0" w:rsidRPr="00FC4BB0" w:rsidRDefault="00FC4BB0" w:rsidP="004F2648">
    <w:pPr>
      <w:pStyle w:val="En-tte"/>
      <w:jc w:val="center"/>
    </w:pPr>
    <w:r>
      <w:rPr>
        <w:noProof/>
        <w:lang w:eastAsia="fr-FR"/>
      </w:rPr>
      <w:drawing>
        <wp:inline distT="0" distB="0" distL="0" distR="0" wp14:anchorId="6F635905" wp14:editId="515B02F6">
          <wp:extent cx="3829050" cy="1971675"/>
          <wp:effectExtent l="0" t="0" r="0" b="9525"/>
          <wp:docPr id="4"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29050" cy="19716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B224E9"/>
    <w:multiLevelType w:val="hybridMultilevel"/>
    <w:tmpl w:val="84369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7A115FC"/>
    <w:multiLevelType w:val="hybridMultilevel"/>
    <w:tmpl w:val="35823760"/>
    <w:lvl w:ilvl="0" w:tplc="040C0001">
      <w:start w:val="1"/>
      <w:numFmt w:val="bullet"/>
      <w:lvlText w:val=""/>
      <w:lvlJc w:val="left"/>
      <w:pPr>
        <w:ind w:left="410" w:hanging="360"/>
      </w:pPr>
      <w:rPr>
        <w:rFonts w:ascii="Symbol" w:hAnsi="Symbol" w:hint="default"/>
        <w:b w:val="0"/>
      </w:rPr>
    </w:lvl>
    <w:lvl w:ilvl="1" w:tplc="040C0003" w:tentative="1">
      <w:start w:val="1"/>
      <w:numFmt w:val="bullet"/>
      <w:lvlText w:val="o"/>
      <w:lvlJc w:val="left"/>
      <w:pPr>
        <w:ind w:left="1130" w:hanging="360"/>
      </w:pPr>
      <w:rPr>
        <w:rFonts w:ascii="Courier New" w:hAnsi="Courier New" w:cs="Courier New" w:hint="default"/>
      </w:rPr>
    </w:lvl>
    <w:lvl w:ilvl="2" w:tplc="040C0005" w:tentative="1">
      <w:start w:val="1"/>
      <w:numFmt w:val="bullet"/>
      <w:lvlText w:val=""/>
      <w:lvlJc w:val="left"/>
      <w:pPr>
        <w:ind w:left="1850" w:hanging="360"/>
      </w:pPr>
      <w:rPr>
        <w:rFonts w:ascii="Wingdings" w:hAnsi="Wingdings" w:hint="default"/>
      </w:rPr>
    </w:lvl>
    <w:lvl w:ilvl="3" w:tplc="040C0001" w:tentative="1">
      <w:start w:val="1"/>
      <w:numFmt w:val="bullet"/>
      <w:lvlText w:val=""/>
      <w:lvlJc w:val="left"/>
      <w:pPr>
        <w:ind w:left="2570" w:hanging="360"/>
      </w:pPr>
      <w:rPr>
        <w:rFonts w:ascii="Symbol" w:hAnsi="Symbol" w:hint="default"/>
      </w:rPr>
    </w:lvl>
    <w:lvl w:ilvl="4" w:tplc="040C0003" w:tentative="1">
      <w:start w:val="1"/>
      <w:numFmt w:val="bullet"/>
      <w:lvlText w:val="o"/>
      <w:lvlJc w:val="left"/>
      <w:pPr>
        <w:ind w:left="3290" w:hanging="360"/>
      </w:pPr>
      <w:rPr>
        <w:rFonts w:ascii="Courier New" w:hAnsi="Courier New" w:cs="Courier New" w:hint="default"/>
      </w:rPr>
    </w:lvl>
    <w:lvl w:ilvl="5" w:tplc="040C0005" w:tentative="1">
      <w:start w:val="1"/>
      <w:numFmt w:val="bullet"/>
      <w:lvlText w:val=""/>
      <w:lvlJc w:val="left"/>
      <w:pPr>
        <w:ind w:left="4010" w:hanging="360"/>
      </w:pPr>
      <w:rPr>
        <w:rFonts w:ascii="Wingdings" w:hAnsi="Wingdings" w:hint="default"/>
      </w:rPr>
    </w:lvl>
    <w:lvl w:ilvl="6" w:tplc="040C0001" w:tentative="1">
      <w:start w:val="1"/>
      <w:numFmt w:val="bullet"/>
      <w:lvlText w:val=""/>
      <w:lvlJc w:val="left"/>
      <w:pPr>
        <w:ind w:left="4730" w:hanging="360"/>
      </w:pPr>
      <w:rPr>
        <w:rFonts w:ascii="Symbol" w:hAnsi="Symbol" w:hint="default"/>
      </w:rPr>
    </w:lvl>
    <w:lvl w:ilvl="7" w:tplc="040C0003" w:tentative="1">
      <w:start w:val="1"/>
      <w:numFmt w:val="bullet"/>
      <w:lvlText w:val="o"/>
      <w:lvlJc w:val="left"/>
      <w:pPr>
        <w:ind w:left="5450" w:hanging="360"/>
      </w:pPr>
      <w:rPr>
        <w:rFonts w:ascii="Courier New" w:hAnsi="Courier New" w:cs="Courier New" w:hint="default"/>
      </w:rPr>
    </w:lvl>
    <w:lvl w:ilvl="8" w:tplc="040C0005" w:tentative="1">
      <w:start w:val="1"/>
      <w:numFmt w:val="bullet"/>
      <w:lvlText w:val=""/>
      <w:lvlJc w:val="left"/>
      <w:pPr>
        <w:ind w:left="6170" w:hanging="360"/>
      </w:pPr>
      <w:rPr>
        <w:rFonts w:ascii="Wingdings" w:hAnsi="Wingdings" w:hint="default"/>
      </w:rPr>
    </w:lvl>
  </w:abstractNum>
  <w:abstractNum w:abstractNumId="2" w15:restartNumberingAfterBreak="0">
    <w:nsid w:val="7C286141"/>
    <w:multiLevelType w:val="hybridMultilevel"/>
    <w:tmpl w:val="A1027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DD70031"/>
    <w:multiLevelType w:val="multilevel"/>
    <w:tmpl w:val="20FE29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989"/>
    <w:rsid w:val="00004368"/>
    <w:rsid w:val="00011BF4"/>
    <w:rsid w:val="00017F26"/>
    <w:rsid w:val="000227BA"/>
    <w:rsid w:val="00027670"/>
    <w:rsid w:val="000276AD"/>
    <w:rsid w:val="0003022A"/>
    <w:rsid w:val="000323EA"/>
    <w:rsid w:val="000327D9"/>
    <w:rsid w:val="0004099E"/>
    <w:rsid w:val="00051969"/>
    <w:rsid w:val="0005256A"/>
    <w:rsid w:val="0005432F"/>
    <w:rsid w:val="00065BAE"/>
    <w:rsid w:val="00066859"/>
    <w:rsid w:val="00071BAA"/>
    <w:rsid w:val="00076040"/>
    <w:rsid w:val="00076391"/>
    <w:rsid w:val="000B4FBA"/>
    <w:rsid w:val="000B6D5F"/>
    <w:rsid w:val="000C0E95"/>
    <w:rsid w:val="000C4D64"/>
    <w:rsid w:val="000C5485"/>
    <w:rsid w:val="000D1EBB"/>
    <w:rsid w:val="000D4ACA"/>
    <w:rsid w:val="000D5C42"/>
    <w:rsid w:val="000E0DD8"/>
    <w:rsid w:val="000E33E3"/>
    <w:rsid w:val="000E4AE0"/>
    <w:rsid w:val="000E4B50"/>
    <w:rsid w:val="000F5C77"/>
    <w:rsid w:val="001038B4"/>
    <w:rsid w:val="001047F1"/>
    <w:rsid w:val="00107DF7"/>
    <w:rsid w:val="001242EF"/>
    <w:rsid w:val="00124420"/>
    <w:rsid w:val="001260AF"/>
    <w:rsid w:val="001272A4"/>
    <w:rsid w:val="00133B66"/>
    <w:rsid w:val="001378D4"/>
    <w:rsid w:val="001429D2"/>
    <w:rsid w:val="00150742"/>
    <w:rsid w:val="001537E6"/>
    <w:rsid w:val="00154EC1"/>
    <w:rsid w:val="00155256"/>
    <w:rsid w:val="00164216"/>
    <w:rsid w:val="00172CA0"/>
    <w:rsid w:val="0018250D"/>
    <w:rsid w:val="00183E09"/>
    <w:rsid w:val="0019203A"/>
    <w:rsid w:val="00196D87"/>
    <w:rsid w:val="001A383D"/>
    <w:rsid w:val="001B6491"/>
    <w:rsid w:val="001C0429"/>
    <w:rsid w:val="001C3E28"/>
    <w:rsid w:val="001C562D"/>
    <w:rsid w:val="001D018C"/>
    <w:rsid w:val="001D26B9"/>
    <w:rsid w:val="001D476A"/>
    <w:rsid w:val="001D78E6"/>
    <w:rsid w:val="001E133C"/>
    <w:rsid w:val="001E756E"/>
    <w:rsid w:val="001E7E7A"/>
    <w:rsid w:val="001F282B"/>
    <w:rsid w:val="001F2CE3"/>
    <w:rsid w:val="001F77BA"/>
    <w:rsid w:val="002039AD"/>
    <w:rsid w:val="00206B80"/>
    <w:rsid w:val="00206BDF"/>
    <w:rsid w:val="00211498"/>
    <w:rsid w:val="00215129"/>
    <w:rsid w:val="002317D8"/>
    <w:rsid w:val="00232F13"/>
    <w:rsid w:val="002377F0"/>
    <w:rsid w:val="00240AFD"/>
    <w:rsid w:val="00240FEC"/>
    <w:rsid w:val="00241300"/>
    <w:rsid w:val="00245176"/>
    <w:rsid w:val="00246D04"/>
    <w:rsid w:val="00252F0C"/>
    <w:rsid w:val="00254CCF"/>
    <w:rsid w:val="002567CB"/>
    <w:rsid w:val="0026104E"/>
    <w:rsid w:val="0026293A"/>
    <w:rsid w:val="0026453B"/>
    <w:rsid w:val="0027383C"/>
    <w:rsid w:val="002759C6"/>
    <w:rsid w:val="00275D40"/>
    <w:rsid w:val="00276B68"/>
    <w:rsid w:val="00281CEE"/>
    <w:rsid w:val="00282D46"/>
    <w:rsid w:val="00284CD9"/>
    <w:rsid w:val="00286EC3"/>
    <w:rsid w:val="002924FB"/>
    <w:rsid w:val="002963F1"/>
    <w:rsid w:val="002A207F"/>
    <w:rsid w:val="002A2FB7"/>
    <w:rsid w:val="002A391B"/>
    <w:rsid w:val="002A3D14"/>
    <w:rsid w:val="002A7F65"/>
    <w:rsid w:val="002B77C4"/>
    <w:rsid w:val="002C0CBC"/>
    <w:rsid w:val="002C4DDD"/>
    <w:rsid w:val="002E40A4"/>
    <w:rsid w:val="002E7940"/>
    <w:rsid w:val="002F2CF9"/>
    <w:rsid w:val="00300BB8"/>
    <w:rsid w:val="00301F57"/>
    <w:rsid w:val="0031217F"/>
    <w:rsid w:val="003143E4"/>
    <w:rsid w:val="00317B28"/>
    <w:rsid w:val="00342DAC"/>
    <w:rsid w:val="0034562E"/>
    <w:rsid w:val="00345861"/>
    <w:rsid w:val="00347C6F"/>
    <w:rsid w:val="0035326E"/>
    <w:rsid w:val="00356DB5"/>
    <w:rsid w:val="003601F7"/>
    <w:rsid w:val="003771DD"/>
    <w:rsid w:val="00380ADA"/>
    <w:rsid w:val="00381741"/>
    <w:rsid w:val="00396097"/>
    <w:rsid w:val="00396C8D"/>
    <w:rsid w:val="003971CC"/>
    <w:rsid w:val="003A10C8"/>
    <w:rsid w:val="003A292F"/>
    <w:rsid w:val="003A2B07"/>
    <w:rsid w:val="003A51FF"/>
    <w:rsid w:val="003A6347"/>
    <w:rsid w:val="003B3141"/>
    <w:rsid w:val="003B3552"/>
    <w:rsid w:val="003B4930"/>
    <w:rsid w:val="003B5527"/>
    <w:rsid w:val="003B7E9A"/>
    <w:rsid w:val="003C517D"/>
    <w:rsid w:val="003C5CAC"/>
    <w:rsid w:val="003D0B7C"/>
    <w:rsid w:val="003D409D"/>
    <w:rsid w:val="003D518A"/>
    <w:rsid w:val="003D6A34"/>
    <w:rsid w:val="003E5875"/>
    <w:rsid w:val="003F0263"/>
    <w:rsid w:val="003F3930"/>
    <w:rsid w:val="003F5CBC"/>
    <w:rsid w:val="003F7479"/>
    <w:rsid w:val="003F7E20"/>
    <w:rsid w:val="003F7FA6"/>
    <w:rsid w:val="004025FF"/>
    <w:rsid w:val="00404BEC"/>
    <w:rsid w:val="00412940"/>
    <w:rsid w:val="004205B4"/>
    <w:rsid w:val="00421628"/>
    <w:rsid w:val="00421EB5"/>
    <w:rsid w:val="00422237"/>
    <w:rsid w:val="00425F74"/>
    <w:rsid w:val="00430609"/>
    <w:rsid w:val="004310AD"/>
    <w:rsid w:val="00434D1D"/>
    <w:rsid w:val="004370D3"/>
    <w:rsid w:val="00437267"/>
    <w:rsid w:val="0044129F"/>
    <w:rsid w:val="004478CF"/>
    <w:rsid w:val="00447CAD"/>
    <w:rsid w:val="004506D6"/>
    <w:rsid w:val="00452E0C"/>
    <w:rsid w:val="0045336F"/>
    <w:rsid w:val="00453EEB"/>
    <w:rsid w:val="00462944"/>
    <w:rsid w:val="00470A1D"/>
    <w:rsid w:val="004770B7"/>
    <w:rsid w:val="00480193"/>
    <w:rsid w:val="00480618"/>
    <w:rsid w:val="0048216F"/>
    <w:rsid w:val="00482E49"/>
    <w:rsid w:val="00485341"/>
    <w:rsid w:val="004855FC"/>
    <w:rsid w:val="0048651B"/>
    <w:rsid w:val="004940FC"/>
    <w:rsid w:val="004A0871"/>
    <w:rsid w:val="004A7569"/>
    <w:rsid w:val="004B449A"/>
    <w:rsid w:val="004B4E20"/>
    <w:rsid w:val="004C1F0C"/>
    <w:rsid w:val="004C2D19"/>
    <w:rsid w:val="004C3D5D"/>
    <w:rsid w:val="004C5C28"/>
    <w:rsid w:val="004C7ECF"/>
    <w:rsid w:val="004D107B"/>
    <w:rsid w:val="004D60F0"/>
    <w:rsid w:val="004E020C"/>
    <w:rsid w:val="004E15D9"/>
    <w:rsid w:val="004E5912"/>
    <w:rsid w:val="004E61EE"/>
    <w:rsid w:val="004E6C51"/>
    <w:rsid w:val="004F0472"/>
    <w:rsid w:val="004F2648"/>
    <w:rsid w:val="004F3EAE"/>
    <w:rsid w:val="00513D2B"/>
    <w:rsid w:val="00517635"/>
    <w:rsid w:val="00524E6B"/>
    <w:rsid w:val="00534727"/>
    <w:rsid w:val="00546B3B"/>
    <w:rsid w:val="005601D5"/>
    <w:rsid w:val="00561A63"/>
    <w:rsid w:val="0056452A"/>
    <w:rsid w:val="0056495D"/>
    <w:rsid w:val="00571D73"/>
    <w:rsid w:val="005741A9"/>
    <w:rsid w:val="00575CEB"/>
    <w:rsid w:val="00581E79"/>
    <w:rsid w:val="0058259C"/>
    <w:rsid w:val="00583E31"/>
    <w:rsid w:val="00591319"/>
    <w:rsid w:val="00593279"/>
    <w:rsid w:val="005A0C33"/>
    <w:rsid w:val="005A477A"/>
    <w:rsid w:val="005B385D"/>
    <w:rsid w:val="005C1183"/>
    <w:rsid w:val="005C2DE9"/>
    <w:rsid w:val="005C44CC"/>
    <w:rsid w:val="005D60E1"/>
    <w:rsid w:val="005E03FA"/>
    <w:rsid w:val="005E6AEE"/>
    <w:rsid w:val="005E6CBC"/>
    <w:rsid w:val="005F1844"/>
    <w:rsid w:val="005F20B8"/>
    <w:rsid w:val="005F5CA7"/>
    <w:rsid w:val="00613DFB"/>
    <w:rsid w:val="00621830"/>
    <w:rsid w:val="006678D0"/>
    <w:rsid w:val="00667E17"/>
    <w:rsid w:val="006728BD"/>
    <w:rsid w:val="006730F2"/>
    <w:rsid w:val="006853F5"/>
    <w:rsid w:val="00694526"/>
    <w:rsid w:val="006A03D5"/>
    <w:rsid w:val="006A110F"/>
    <w:rsid w:val="006A69F1"/>
    <w:rsid w:val="006B3480"/>
    <w:rsid w:val="006B3A5A"/>
    <w:rsid w:val="006B6498"/>
    <w:rsid w:val="006D1D78"/>
    <w:rsid w:val="006D2B79"/>
    <w:rsid w:val="006E0325"/>
    <w:rsid w:val="006E074C"/>
    <w:rsid w:val="006E16F5"/>
    <w:rsid w:val="006E173D"/>
    <w:rsid w:val="006E55D4"/>
    <w:rsid w:val="006E6145"/>
    <w:rsid w:val="006E6175"/>
    <w:rsid w:val="006E716E"/>
    <w:rsid w:val="006F557D"/>
    <w:rsid w:val="006F6232"/>
    <w:rsid w:val="0070128A"/>
    <w:rsid w:val="0070139A"/>
    <w:rsid w:val="00701607"/>
    <w:rsid w:val="007109DA"/>
    <w:rsid w:val="00715DAD"/>
    <w:rsid w:val="00717C82"/>
    <w:rsid w:val="00723D28"/>
    <w:rsid w:val="0073001D"/>
    <w:rsid w:val="0073033A"/>
    <w:rsid w:val="00730FBC"/>
    <w:rsid w:val="00731B99"/>
    <w:rsid w:val="00732C61"/>
    <w:rsid w:val="0073764C"/>
    <w:rsid w:val="00740574"/>
    <w:rsid w:val="00746ECB"/>
    <w:rsid w:val="007579FE"/>
    <w:rsid w:val="0076131E"/>
    <w:rsid w:val="0076378E"/>
    <w:rsid w:val="00763A24"/>
    <w:rsid w:val="00765F57"/>
    <w:rsid w:val="00767BEF"/>
    <w:rsid w:val="00785D8D"/>
    <w:rsid w:val="007A56A3"/>
    <w:rsid w:val="007E0552"/>
    <w:rsid w:val="007E472A"/>
    <w:rsid w:val="007E6A99"/>
    <w:rsid w:val="007F4F25"/>
    <w:rsid w:val="00804AE9"/>
    <w:rsid w:val="0082555E"/>
    <w:rsid w:val="00825F5F"/>
    <w:rsid w:val="00834319"/>
    <w:rsid w:val="0083589B"/>
    <w:rsid w:val="00843FB2"/>
    <w:rsid w:val="00853F1B"/>
    <w:rsid w:val="00856276"/>
    <w:rsid w:val="00880640"/>
    <w:rsid w:val="008812B9"/>
    <w:rsid w:val="00883252"/>
    <w:rsid w:val="008843F1"/>
    <w:rsid w:val="008934E1"/>
    <w:rsid w:val="00894A7E"/>
    <w:rsid w:val="0089564B"/>
    <w:rsid w:val="008A02DD"/>
    <w:rsid w:val="008A1060"/>
    <w:rsid w:val="008A6AA5"/>
    <w:rsid w:val="008B36EB"/>
    <w:rsid w:val="008B45E3"/>
    <w:rsid w:val="008B59C7"/>
    <w:rsid w:val="008B7D51"/>
    <w:rsid w:val="008C6E87"/>
    <w:rsid w:val="008D4652"/>
    <w:rsid w:val="008E031C"/>
    <w:rsid w:val="008E056A"/>
    <w:rsid w:val="008F1028"/>
    <w:rsid w:val="008F104A"/>
    <w:rsid w:val="008F28E4"/>
    <w:rsid w:val="008F6F34"/>
    <w:rsid w:val="0090296D"/>
    <w:rsid w:val="00903BD4"/>
    <w:rsid w:val="009118F6"/>
    <w:rsid w:val="00912246"/>
    <w:rsid w:val="00914FD5"/>
    <w:rsid w:val="00920B8E"/>
    <w:rsid w:val="00922CD8"/>
    <w:rsid w:val="00927160"/>
    <w:rsid w:val="009325C7"/>
    <w:rsid w:val="00945CC9"/>
    <w:rsid w:val="0094775B"/>
    <w:rsid w:val="00952F0F"/>
    <w:rsid w:val="00956F32"/>
    <w:rsid w:val="00961CC0"/>
    <w:rsid w:val="00966AA9"/>
    <w:rsid w:val="00976E5E"/>
    <w:rsid w:val="009809EF"/>
    <w:rsid w:val="0098245A"/>
    <w:rsid w:val="00982D8A"/>
    <w:rsid w:val="009859C7"/>
    <w:rsid w:val="009867A0"/>
    <w:rsid w:val="009A0C59"/>
    <w:rsid w:val="009A2B20"/>
    <w:rsid w:val="009A503B"/>
    <w:rsid w:val="009B2BBF"/>
    <w:rsid w:val="009B3CC6"/>
    <w:rsid w:val="009B419D"/>
    <w:rsid w:val="009C111E"/>
    <w:rsid w:val="009C178C"/>
    <w:rsid w:val="009D1A86"/>
    <w:rsid w:val="009E7626"/>
    <w:rsid w:val="009F1A01"/>
    <w:rsid w:val="00A00607"/>
    <w:rsid w:val="00A0471C"/>
    <w:rsid w:val="00A04C3D"/>
    <w:rsid w:val="00A117B5"/>
    <w:rsid w:val="00A136E4"/>
    <w:rsid w:val="00A2355B"/>
    <w:rsid w:val="00A2510A"/>
    <w:rsid w:val="00A26388"/>
    <w:rsid w:val="00A302F6"/>
    <w:rsid w:val="00A33FFE"/>
    <w:rsid w:val="00A424DF"/>
    <w:rsid w:val="00A4303F"/>
    <w:rsid w:val="00A5146F"/>
    <w:rsid w:val="00A634D9"/>
    <w:rsid w:val="00A63508"/>
    <w:rsid w:val="00A6562E"/>
    <w:rsid w:val="00A70A7F"/>
    <w:rsid w:val="00A71B1A"/>
    <w:rsid w:val="00A7273C"/>
    <w:rsid w:val="00A73D78"/>
    <w:rsid w:val="00A766A2"/>
    <w:rsid w:val="00A907CD"/>
    <w:rsid w:val="00A96312"/>
    <w:rsid w:val="00A97BCA"/>
    <w:rsid w:val="00AA3452"/>
    <w:rsid w:val="00AA5002"/>
    <w:rsid w:val="00AB4B79"/>
    <w:rsid w:val="00AC72AF"/>
    <w:rsid w:val="00AD3C57"/>
    <w:rsid w:val="00AE2C11"/>
    <w:rsid w:val="00AE3D79"/>
    <w:rsid w:val="00AE74B3"/>
    <w:rsid w:val="00AF3845"/>
    <w:rsid w:val="00AF3A0C"/>
    <w:rsid w:val="00B013B6"/>
    <w:rsid w:val="00B02CAF"/>
    <w:rsid w:val="00B04083"/>
    <w:rsid w:val="00B134DD"/>
    <w:rsid w:val="00B16089"/>
    <w:rsid w:val="00B17C85"/>
    <w:rsid w:val="00B204F6"/>
    <w:rsid w:val="00B23744"/>
    <w:rsid w:val="00B33752"/>
    <w:rsid w:val="00B33D8C"/>
    <w:rsid w:val="00B40663"/>
    <w:rsid w:val="00B418C4"/>
    <w:rsid w:val="00B42C7F"/>
    <w:rsid w:val="00B43B64"/>
    <w:rsid w:val="00B46A43"/>
    <w:rsid w:val="00B50E75"/>
    <w:rsid w:val="00B535CE"/>
    <w:rsid w:val="00B546F3"/>
    <w:rsid w:val="00B61A30"/>
    <w:rsid w:val="00B6216F"/>
    <w:rsid w:val="00B62B08"/>
    <w:rsid w:val="00B71A82"/>
    <w:rsid w:val="00B83F80"/>
    <w:rsid w:val="00B85E64"/>
    <w:rsid w:val="00BA3687"/>
    <w:rsid w:val="00BC4BB6"/>
    <w:rsid w:val="00BC750C"/>
    <w:rsid w:val="00BD4C9E"/>
    <w:rsid w:val="00BD50A9"/>
    <w:rsid w:val="00BE32B4"/>
    <w:rsid w:val="00BF1F76"/>
    <w:rsid w:val="00BF5E3C"/>
    <w:rsid w:val="00C0186C"/>
    <w:rsid w:val="00C05743"/>
    <w:rsid w:val="00C115FB"/>
    <w:rsid w:val="00C12045"/>
    <w:rsid w:val="00C271EC"/>
    <w:rsid w:val="00C30C88"/>
    <w:rsid w:val="00C329E5"/>
    <w:rsid w:val="00C37CBB"/>
    <w:rsid w:val="00C400C3"/>
    <w:rsid w:val="00C42325"/>
    <w:rsid w:val="00C42713"/>
    <w:rsid w:val="00C43371"/>
    <w:rsid w:val="00C44859"/>
    <w:rsid w:val="00C60797"/>
    <w:rsid w:val="00C61F73"/>
    <w:rsid w:val="00C624E6"/>
    <w:rsid w:val="00C63C3C"/>
    <w:rsid w:val="00C649D8"/>
    <w:rsid w:val="00C65989"/>
    <w:rsid w:val="00C679A9"/>
    <w:rsid w:val="00C70092"/>
    <w:rsid w:val="00C83579"/>
    <w:rsid w:val="00C869FE"/>
    <w:rsid w:val="00C9004C"/>
    <w:rsid w:val="00C94CAA"/>
    <w:rsid w:val="00C969DE"/>
    <w:rsid w:val="00CA0503"/>
    <w:rsid w:val="00CA576F"/>
    <w:rsid w:val="00CA6881"/>
    <w:rsid w:val="00CA6E8D"/>
    <w:rsid w:val="00CA76C6"/>
    <w:rsid w:val="00CB1A12"/>
    <w:rsid w:val="00CD0B85"/>
    <w:rsid w:val="00CD0EAD"/>
    <w:rsid w:val="00CE096A"/>
    <w:rsid w:val="00CF0694"/>
    <w:rsid w:val="00CF12F2"/>
    <w:rsid w:val="00CF6A9B"/>
    <w:rsid w:val="00D01954"/>
    <w:rsid w:val="00D031BB"/>
    <w:rsid w:val="00D0603E"/>
    <w:rsid w:val="00D06E68"/>
    <w:rsid w:val="00D07097"/>
    <w:rsid w:val="00D20A70"/>
    <w:rsid w:val="00D215AA"/>
    <w:rsid w:val="00D24345"/>
    <w:rsid w:val="00D31333"/>
    <w:rsid w:val="00D33E01"/>
    <w:rsid w:val="00D45164"/>
    <w:rsid w:val="00D51FB5"/>
    <w:rsid w:val="00D55465"/>
    <w:rsid w:val="00D604E1"/>
    <w:rsid w:val="00D65822"/>
    <w:rsid w:val="00D77904"/>
    <w:rsid w:val="00D93501"/>
    <w:rsid w:val="00D949C0"/>
    <w:rsid w:val="00DA4240"/>
    <w:rsid w:val="00DC1DDF"/>
    <w:rsid w:val="00DC3FF6"/>
    <w:rsid w:val="00DD1D06"/>
    <w:rsid w:val="00DD6513"/>
    <w:rsid w:val="00DE0793"/>
    <w:rsid w:val="00DE0E4D"/>
    <w:rsid w:val="00DE383F"/>
    <w:rsid w:val="00DF558D"/>
    <w:rsid w:val="00DF5C7F"/>
    <w:rsid w:val="00DF6527"/>
    <w:rsid w:val="00DF71BF"/>
    <w:rsid w:val="00E052DC"/>
    <w:rsid w:val="00E1257A"/>
    <w:rsid w:val="00E21C63"/>
    <w:rsid w:val="00E25CC7"/>
    <w:rsid w:val="00E43FCF"/>
    <w:rsid w:val="00E50134"/>
    <w:rsid w:val="00E60048"/>
    <w:rsid w:val="00E620B8"/>
    <w:rsid w:val="00E645E8"/>
    <w:rsid w:val="00E771E4"/>
    <w:rsid w:val="00E80EC4"/>
    <w:rsid w:val="00E87B8F"/>
    <w:rsid w:val="00E922BE"/>
    <w:rsid w:val="00E93F72"/>
    <w:rsid w:val="00E94B02"/>
    <w:rsid w:val="00E9595F"/>
    <w:rsid w:val="00EA2433"/>
    <w:rsid w:val="00EA2630"/>
    <w:rsid w:val="00EA2818"/>
    <w:rsid w:val="00EA50EB"/>
    <w:rsid w:val="00EB4916"/>
    <w:rsid w:val="00EB73B4"/>
    <w:rsid w:val="00EC1E27"/>
    <w:rsid w:val="00EC2D14"/>
    <w:rsid w:val="00ED5E34"/>
    <w:rsid w:val="00ED6000"/>
    <w:rsid w:val="00ED673B"/>
    <w:rsid w:val="00EE1DF5"/>
    <w:rsid w:val="00EF1C14"/>
    <w:rsid w:val="00EF2F05"/>
    <w:rsid w:val="00EF6017"/>
    <w:rsid w:val="00F0101C"/>
    <w:rsid w:val="00F0227D"/>
    <w:rsid w:val="00F028C1"/>
    <w:rsid w:val="00F13CEB"/>
    <w:rsid w:val="00F1712A"/>
    <w:rsid w:val="00F27010"/>
    <w:rsid w:val="00F30984"/>
    <w:rsid w:val="00F354A7"/>
    <w:rsid w:val="00F63378"/>
    <w:rsid w:val="00F64934"/>
    <w:rsid w:val="00F75CB8"/>
    <w:rsid w:val="00F87E7E"/>
    <w:rsid w:val="00F92A4A"/>
    <w:rsid w:val="00FA144C"/>
    <w:rsid w:val="00FA4310"/>
    <w:rsid w:val="00FA68CA"/>
    <w:rsid w:val="00FB3573"/>
    <w:rsid w:val="00FC4283"/>
    <w:rsid w:val="00FC4BB0"/>
    <w:rsid w:val="00FC6916"/>
    <w:rsid w:val="00FD03E5"/>
    <w:rsid w:val="00FD10D5"/>
    <w:rsid w:val="00FD26F7"/>
    <w:rsid w:val="00FD354A"/>
    <w:rsid w:val="00FD462F"/>
    <w:rsid w:val="00FD4D9E"/>
    <w:rsid w:val="00FD56D8"/>
    <w:rsid w:val="00FE42C1"/>
    <w:rsid w:val="00FE4FED"/>
    <w:rsid w:val="00FE5B36"/>
    <w:rsid w:val="00FE5DFE"/>
    <w:rsid w:val="00FF4F52"/>
    <w:rsid w:val="00FF57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2176279"/>
  <w15:docId w15:val="{D7AAD598-5CD0-4873-8398-841052D08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5989"/>
    <w:pPr>
      <w:spacing w:after="0" w:line="240" w:lineRule="auto"/>
    </w:pPr>
    <w:rPr>
      <w:rFonts w:ascii="Calibri" w:hAnsi="Calibri" w:cs="Calibri"/>
      <w:lang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C4BB0"/>
    <w:pPr>
      <w:tabs>
        <w:tab w:val="center" w:pos="4703"/>
        <w:tab w:val="right" w:pos="9406"/>
      </w:tabs>
    </w:pPr>
  </w:style>
  <w:style w:type="character" w:customStyle="1" w:styleId="En-tteCar">
    <w:name w:val="En-tête Car"/>
    <w:basedOn w:val="Policepardfaut"/>
    <w:link w:val="En-tte"/>
    <w:uiPriority w:val="99"/>
    <w:rsid w:val="00FC4BB0"/>
    <w:rPr>
      <w:rFonts w:ascii="Calibri" w:hAnsi="Calibri" w:cs="Calibri"/>
      <w:lang w:eastAsia="de-DE"/>
    </w:rPr>
  </w:style>
  <w:style w:type="paragraph" w:styleId="Pieddepage">
    <w:name w:val="footer"/>
    <w:basedOn w:val="Normal"/>
    <w:link w:val="PieddepageCar"/>
    <w:uiPriority w:val="99"/>
    <w:unhideWhenUsed/>
    <w:rsid w:val="00FC4BB0"/>
    <w:pPr>
      <w:tabs>
        <w:tab w:val="center" w:pos="4703"/>
        <w:tab w:val="right" w:pos="9406"/>
      </w:tabs>
    </w:pPr>
  </w:style>
  <w:style w:type="character" w:customStyle="1" w:styleId="PieddepageCar">
    <w:name w:val="Pied de page Car"/>
    <w:basedOn w:val="Policepardfaut"/>
    <w:link w:val="Pieddepage"/>
    <w:uiPriority w:val="99"/>
    <w:rsid w:val="00FC4BB0"/>
    <w:rPr>
      <w:rFonts w:ascii="Calibri" w:hAnsi="Calibri" w:cs="Calibri"/>
      <w:lang w:eastAsia="de-DE"/>
    </w:rPr>
  </w:style>
  <w:style w:type="paragraph" w:styleId="Textedebulles">
    <w:name w:val="Balloon Text"/>
    <w:basedOn w:val="Normal"/>
    <w:link w:val="TextedebullesCar"/>
    <w:uiPriority w:val="99"/>
    <w:semiHidden/>
    <w:unhideWhenUsed/>
    <w:rsid w:val="00FC4BB0"/>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4BB0"/>
    <w:rPr>
      <w:rFonts w:ascii="Segoe UI" w:hAnsi="Segoe UI" w:cs="Segoe UI"/>
      <w:sz w:val="18"/>
      <w:szCs w:val="18"/>
      <w:lang w:eastAsia="de-DE"/>
    </w:rPr>
  </w:style>
  <w:style w:type="paragraph" w:styleId="Paragraphedeliste">
    <w:name w:val="List Paragraph"/>
    <w:basedOn w:val="Normal"/>
    <w:uiPriority w:val="34"/>
    <w:qFormat/>
    <w:rsid w:val="00FC4BB0"/>
    <w:pPr>
      <w:spacing w:after="160" w:line="259" w:lineRule="auto"/>
      <w:ind w:left="720"/>
      <w:contextualSpacing/>
    </w:pPr>
    <w:rPr>
      <w:rFonts w:asciiTheme="minorHAnsi" w:hAnsiTheme="minorHAnsi" w:cstheme="minorBidi"/>
      <w:lang w:val="fr-FR" w:eastAsia="en-US"/>
    </w:rPr>
  </w:style>
  <w:style w:type="paragraph" w:styleId="NormalWeb">
    <w:name w:val="Normal (Web)"/>
    <w:basedOn w:val="Normal"/>
    <w:uiPriority w:val="99"/>
    <w:unhideWhenUsed/>
    <w:rsid w:val="00927160"/>
    <w:pPr>
      <w:spacing w:before="100" w:beforeAutospacing="1" w:after="100" w:afterAutospacing="1"/>
    </w:pPr>
    <w:rPr>
      <w:rFonts w:ascii="Times New Roman" w:eastAsia="Times New Roman" w:hAnsi="Times New Roman" w:cs="Times New Roman"/>
      <w:color w:val="000000"/>
      <w:sz w:val="24"/>
      <w:szCs w:val="24"/>
      <w:lang w:val="en-US" w:eastAsia="en-US"/>
    </w:rPr>
  </w:style>
  <w:style w:type="character" w:styleId="Lienhypertexte">
    <w:name w:val="Hyperlink"/>
    <w:basedOn w:val="Policepardfaut"/>
    <w:uiPriority w:val="99"/>
    <w:unhideWhenUsed/>
    <w:rsid w:val="009271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154665">
      <w:bodyDiv w:val="1"/>
      <w:marLeft w:val="0"/>
      <w:marRight w:val="0"/>
      <w:marTop w:val="0"/>
      <w:marBottom w:val="0"/>
      <w:divBdr>
        <w:top w:val="none" w:sz="0" w:space="0" w:color="auto"/>
        <w:left w:val="none" w:sz="0" w:space="0" w:color="auto"/>
        <w:bottom w:val="none" w:sz="0" w:space="0" w:color="auto"/>
        <w:right w:val="none" w:sz="0" w:space="0" w:color="auto"/>
      </w:divBdr>
    </w:div>
    <w:div w:id="165078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63B7B-8BBD-4DDD-87C7-7F138E14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699</Words>
  <Characters>3985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Häfner</dc:creator>
  <cp:lastModifiedBy>Morgane Veillet Lavallée</cp:lastModifiedBy>
  <cp:revision>11</cp:revision>
  <dcterms:created xsi:type="dcterms:W3CDTF">2017-07-27T13:45:00Z</dcterms:created>
  <dcterms:modified xsi:type="dcterms:W3CDTF">2017-09-06T08:06:00Z</dcterms:modified>
</cp:coreProperties>
</file>